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4CC34" w14:textId="77777777" w:rsidR="005F5D4E" w:rsidRPr="00E635A2" w:rsidRDefault="005F5D4E" w:rsidP="005F5D4E">
      <w:pPr>
        <w:jc w:val="right"/>
        <w:rPr>
          <w:b/>
          <w:bCs/>
          <w:sz w:val="20"/>
          <w:szCs w:val="20"/>
        </w:rPr>
      </w:pPr>
      <w:r w:rsidRPr="00E635A2">
        <w:rPr>
          <w:rFonts w:hint="cs"/>
          <w:sz w:val="20"/>
          <w:szCs w:val="20"/>
          <w:rtl/>
        </w:rPr>
        <w:t xml:space="preserve">מספר פנימי: </w:t>
      </w:r>
      <w:bookmarkStart w:id="0" w:name="LGS_Internal_ID"/>
      <w:r>
        <w:rPr>
          <w:rFonts w:hint="cs"/>
          <w:sz w:val="20"/>
          <w:szCs w:val="20"/>
          <w:rtl/>
        </w:rPr>
        <w:t>2193610</w:t>
      </w:r>
      <w:bookmarkEnd w:id="0"/>
    </w:p>
    <w:p w14:paraId="5BEAEA8A" w14:textId="77777777" w:rsidR="005F5D4E" w:rsidRPr="00DB7060" w:rsidRDefault="005F5D4E" w:rsidP="005F5D4E">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5E348F84" w14:textId="77777777" w:rsidR="005F5D4E" w:rsidRPr="00F67051" w:rsidRDefault="005F5D4E" w:rsidP="005F5D4E">
      <w:pPr>
        <w:rPr>
          <w:b/>
          <w:bCs/>
          <w:sz w:val="26"/>
          <w:szCs w:val="26"/>
          <w:rtl/>
        </w:rPr>
      </w:pPr>
    </w:p>
    <w:p w14:paraId="45135249" w14:textId="03BA1DEF" w:rsidR="005F5D4E" w:rsidRPr="00CF1AA2" w:rsidRDefault="005F5D4E" w:rsidP="00BD15BB">
      <w:pPr>
        <w:pStyle w:val="David"/>
        <w:spacing w:before="102"/>
        <w:ind w:left="3544"/>
        <w:rPr>
          <w:b/>
          <w:bCs/>
          <w:sz w:val="16"/>
          <w:szCs w:val="16"/>
          <w:rtl/>
        </w:rPr>
      </w:pPr>
      <w:bookmarkStart w:id="2" w:name="LGS_Initiators_List"/>
      <w:r>
        <w:rPr>
          <w:b/>
          <w:bCs/>
          <w:rtl/>
        </w:rPr>
        <w:t>יוזם:</w:t>
      </w:r>
      <w:r>
        <w:tab/>
      </w:r>
      <w:r>
        <w:rPr>
          <w:b/>
          <w:bCs/>
          <w:rtl/>
        </w:rPr>
        <w:t xml:space="preserve">      חבר הכנסת</w:t>
      </w:r>
      <w:bookmarkEnd w:id="2"/>
      <w:r w:rsidRPr="00F67051">
        <w:rPr>
          <w:b/>
          <w:bCs/>
        </w:rPr>
        <w:tab/>
      </w:r>
      <w:bookmarkStart w:id="3" w:name="LGS_PM_Names"/>
      <w:r>
        <w:rPr>
          <w:rFonts w:hint="cs"/>
          <w:b/>
          <w:bCs/>
          <w:rtl/>
        </w:rPr>
        <w:t>יעקב אשר</w:t>
      </w:r>
      <w:bookmarkStart w:id="4" w:name="LGS_Join_List"/>
      <w:bookmarkEnd w:id="3"/>
      <w:r>
        <w:rPr>
          <w:rtl/>
        </w:rPr>
        <w:t xml:space="preserve"> </w:t>
      </w:r>
      <w:bookmarkEnd w:id="4"/>
      <w:r w:rsidRPr="00CF1AA2">
        <w:rPr>
          <w:rFonts w:hint="cs"/>
          <w:rtl/>
        </w:rPr>
        <w:tab/>
      </w:r>
      <w:bookmarkStart w:id="5" w:name="LGS_PM_NamesJoin"/>
      <w:r>
        <w:rPr>
          <w:rFonts w:hint="cs"/>
          <w:rtl/>
        </w:rPr>
        <w:t xml:space="preserve"> </w:t>
      </w:r>
      <w:bookmarkEnd w:id="5"/>
    </w:p>
    <w:p w14:paraId="1148A479" w14:textId="77777777" w:rsidR="005F5D4E" w:rsidRPr="00904591" w:rsidRDefault="005F5D4E" w:rsidP="005F5D4E">
      <w:pPr>
        <w:pStyle w:val="David"/>
        <w:ind w:left="3544"/>
        <w:rPr>
          <w:sz w:val="4"/>
          <w:szCs w:val="4"/>
          <w:rtl/>
        </w:rPr>
      </w:pPr>
      <w:r>
        <w:t>______________________________________________</w:t>
      </w:r>
      <w:r w:rsidRPr="00E06736">
        <w:tab/>
      </w:r>
      <w:r w:rsidRPr="00E06736">
        <w:rPr>
          <w:rFonts w:hint="cs"/>
          <w:rtl/>
        </w:rPr>
        <w:tab/>
      </w:r>
      <w:r w:rsidRPr="00E06736">
        <w:rPr>
          <w:rFonts w:hint="cs"/>
          <w:rtl/>
        </w:rPr>
        <w:tab/>
      </w:r>
      <w:r w:rsidRPr="00E06736">
        <w:rPr>
          <w:rFonts w:hint="cs"/>
          <w:rtl/>
        </w:rPr>
        <w:tab/>
      </w:r>
      <w:r>
        <w:t xml:space="preserve">           </w:t>
      </w:r>
    </w:p>
    <w:p w14:paraId="2ADA634A" w14:textId="200E8B96" w:rsidR="005F5D4E" w:rsidRPr="00E06736" w:rsidRDefault="00BD15BB" w:rsidP="005F5D4E">
      <w:pPr>
        <w:pStyle w:val="David"/>
        <w:spacing w:line="240" w:lineRule="auto"/>
        <w:ind w:left="3544"/>
        <w:rPr>
          <w:rtl/>
        </w:rPr>
      </w:pPr>
      <w:r>
        <w:tab/>
        <w:t xml:space="preserve">     </w:t>
      </w:r>
      <w:bookmarkStart w:id="6" w:name="_GoBack"/>
      <w:bookmarkEnd w:id="6"/>
      <w:r w:rsidR="005F5D4E">
        <w:t xml:space="preserve">                                             </w:t>
      </w:r>
      <w:bookmarkStart w:id="7" w:name="Private_Number"/>
      <w:r w:rsidR="005F5D4E">
        <w:rPr>
          <w:rFonts w:hint="cs"/>
          <w:rtl/>
        </w:rPr>
        <w:t>פ/4057/24</w:t>
      </w:r>
      <w:bookmarkEnd w:id="7"/>
    </w:p>
    <w:p w14:paraId="171FE39B" w14:textId="77777777" w:rsidR="005F5D4E" w:rsidRDefault="005F5D4E" w:rsidP="005F5D4E">
      <w:pPr>
        <w:ind w:left="2880" w:firstLine="720"/>
        <w:rPr>
          <w:sz w:val="26"/>
          <w:szCs w:val="26"/>
          <w:rtl/>
        </w:rPr>
      </w:pPr>
    </w:p>
    <w:p w14:paraId="3D6B5CFE" w14:textId="3D44BE6F" w:rsidR="005F5D4E" w:rsidRPr="00F67051" w:rsidRDefault="005F5D4E" w:rsidP="00C27F4B">
      <w:pPr>
        <w:pStyle w:val="HeadHatzaotHok"/>
        <w:rPr>
          <w:rtl/>
        </w:rPr>
      </w:pPr>
      <w:bookmarkStart w:id="8" w:name="LGS_Subject"/>
      <w:r>
        <w:rPr>
          <w:rFonts w:hint="cs"/>
          <w:rtl/>
        </w:rPr>
        <w:t>הצעת חוק עבודת נשים (תיקון – הארכת תקופת הלידה וההורות להורי פעוט עם מוגבלות מורכבת), התשפ"ב</w:t>
      </w:r>
      <w:r w:rsidR="00C27F4B">
        <w:rPr>
          <w:rFonts w:hint="eastAsia"/>
          <w:rtl/>
        </w:rPr>
        <w:t>–</w:t>
      </w:r>
      <w:r>
        <w:rPr>
          <w:rFonts w:hint="cs"/>
          <w:rtl/>
        </w:rPr>
        <w:t>2022</w:t>
      </w:r>
      <w:bookmarkEnd w:id="8"/>
    </w:p>
    <w:p w14:paraId="5ADB5224" w14:textId="77777777" w:rsidR="005F5D4E" w:rsidRDefault="005F5D4E" w:rsidP="005F5D4E">
      <w:pPr>
        <w:pStyle w:val="HeadDivreiHesber"/>
        <w:spacing w:before="0" w:after="0"/>
        <w:rPr>
          <w:rtl/>
        </w:rPr>
      </w:pPr>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4"/>
        <w:gridCol w:w="7143"/>
      </w:tblGrid>
      <w:tr w:rsidR="005F5D4E" w14:paraId="37DEB0D1" w14:textId="77777777" w:rsidTr="00BD15BB">
        <w:trPr>
          <w:cantSplit/>
        </w:trPr>
        <w:tc>
          <w:tcPr>
            <w:tcW w:w="1871" w:type="dxa"/>
            <w:hideMark/>
          </w:tcPr>
          <w:p w14:paraId="2AEB0F10" w14:textId="77777777" w:rsidR="005F5D4E" w:rsidRDefault="005F5D4E" w:rsidP="009002C3">
            <w:pPr>
              <w:pStyle w:val="TableSideHeading"/>
            </w:pPr>
            <w:r>
              <w:rPr>
                <w:rtl/>
              </w:rPr>
              <w:t>תיקון סעיף 6</w:t>
            </w:r>
          </w:p>
        </w:tc>
        <w:tc>
          <w:tcPr>
            <w:tcW w:w="624" w:type="dxa"/>
            <w:hideMark/>
          </w:tcPr>
          <w:p w14:paraId="16ADA671" w14:textId="77777777" w:rsidR="005F5D4E" w:rsidRDefault="005F5D4E" w:rsidP="009002C3">
            <w:pPr>
              <w:pStyle w:val="TableText"/>
              <w:jc w:val="both"/>
              <w:rPr>
                <w:rtl/>
              </w:rPr>
            </w:pPr>
            <w:r>
              <w:rPr>
                <w:rtl/>
              </w:rPr>
              <w:t>1.</w:t>
            </w:r>
          </w:p>
        </w:tc>
        <w:tc>
          <w:tcPr>
            <w:tcW w:w="7143" w:type="dxa"/>
            <w:hideMark/>
          </w:tcPr>
          <w:p w14:paraId="1ED6F76C" w14:textId="77777777" w:rsidR="005F5D4E" w:rsidRDefault="005F5D4E" w:rsidP="00BD15BB">
            <w:pPr>
              <w:pStyle w:val="TableBlock"/>
              <w:rPr>
                <w:rtl/>
              </w:rPr>
            </w:pPr>
            <w:r>
              <w:rPr>
                <w:rtl/>
              </w:rPr>
              <w:t>בחוק עבודת נשים, התשי"ד–1954</w:t>
            </w:r>
            <w:r w:rsidRPr="00BD15BB">
              <w:rPr>
                <w:rFonts w:ascii="David" w:hAnsi="David"/>
                <w:sz w:val="26"/>
                <w:vertAlign w:val="superscript"/>
                <w:rtl/>
              </w:rPr>
              <w:footnoteReference w:id="2"/>
            </w:r>
            <w:r>
              <w:rPr>
                <w:rtl/>
              </w:rPr>
              <w:t xml:space="preserve">, בסעיף 6, אחרי </w:t>
            </w:r>
            <w:r>
              <w:rPr>
                <w:rFonts w:hint="cs"/>
                <w:rtl/>
              </w:rPr>
              <w:t xml:space="preserve">סעיף קטן </w:t>
            </w:r>
            <w:r>
              <w:rPr>
                <w:rtl/>
              </w:rPr>
              <w:t>(ד</w:t>
            </w:r>
            <w:r>
              <w:rPr>
                <w:rFonts w:hint="cs"/>
                <w:rtl/>
              </w:rPr>
              <w:t>2</w:t>
            </w:r>
            <w:r>
              <w:rPr>
                <w:rtl/>
              </w:rPr>
              <w:t>) יבוא:</w:t>
            </w:r>
          </w:p>
        </w:tc>
      </w:tr>
      <w:tr w:rsidR="005F5D4E" w14:paraId="0A7DD162" w14:textId="77777777" w:rsidTr="00BD15BB">
        <w:trPr>
          <w:cantSplit/>
        </w:trPr>
        <w:tc>
          <w:tcPr>
            <w:tcW w:w="1871" w:type="dxa"/>
          </w:tcPr>
          <w:p w14:paraId="75321FCF" w14:textId="77777777" w:rsidR="005F5D4E" w:rsidRDefault="005F5D4E" w:rsidP="009002C3">
            <w:pPr>
              <w:pStyle w:val="TableSideHeading"/>
              <w:rPr>
                <w:rtl/>
              </w:rPr>
            </w:pPr>
          </w:p>
        </w:tc>
        <w:tc>
          <w:tcPr>
            <w:tcW w:w="624" w:type="dxa"/>
          </w:tcPr>
          <w:p w14:paraId="1EFB38E5" w14:textId="77777777" w:rsidR="005F5D4E" w:rsidRDefault="005F5D4E" w:rsidP="009002C3">
            <w:pPr>
              <w:pStyle w:val="TableText"/>
              <w:rPr>
                <w:rtl/>
              </w:rPr>
            </w:pPr>
          </w:p>
        </w:tc>
        <w:tc>
          <w:tcPr>
            <w:tcW w:w="7143" w:type="dxa"/>
            <w:hideMark/>
          </w:tcPr>
          <w:p w14:paraId="26C263DD" w14:textId="77777777" w:rsidR="005F5D4E" w:rsidRDefault="005F5D4E" w:rsidP="00BD15BB">
            <w:pPr>
              <w:pStyle w:val="TableBlock"/>
              <w:tabs>
                <w:tab w:val="left" w:pos="624"/>
                <w:tab w:val="left" w:pos="1247"/>
              </w:tabs>
              <w:rPr>
                <w:rtl/>
              </w:rPr>
            </w:pPr>
            <w:r>
              <w:rPr>
                <w:rtl/>
              </w:rPr>
              <w:t>"(</w:t>
            </w:r>
            <w:r>
              <w:rPr>
                <w:rFonts w:hint="cs"/>
                <w:rtl/>
              </w:rPr>
              <w:t>ד3</w:t>
            </w:r>
            <w:r>
              <w:rPr>
                <w:rtl/>
              </w:rPr>
              <w:t>)</w:t>
            </w:r>
            <w:r>
              <w:rPr>
                <w:rtl/>
              </w:rPr>
              <w:tab/>
              <w:t>עובדת שהילד אשר ילדה הינו פעוט עם מוגבלות</w:t>
            </w:r>
            <w:r>
              <w:rPr>
                <w:rFonts w:hint="cs"/>
                <w:rtl/>
              </w:rPr>
              <w:t xml:space="preserve"> מורכבת</w:t>
            </w:r>
            <w:r>
              <w:rPr>
                <w:rtl/>
              </w:rPr>
              <w:t xml:space="preserve"> זכאית להאריך את תקופת הלידה וההורות </w:t>
            </w:r>
            <w:r>
              <w:rPr>
                <w:rFonts w:hint="cs"/>
                <w:rtl/>
              </w:rPr>
              <w:t>בחמישה</w:t>
            </w:r>
            <w:r>
              <w:rPr>
                <w:rtl/>
              </w:rPr>
              <w:t xml:space="preserve"> שבועות נוספים</w:t>
            </w:r>
            <w:r>
              <w:rPr>
                <w:rFonts w:hint="cs"/>
                <w:rtl/>
              </w:rPr>
              <w:t xml:space="preserve">; </w:t>
            </w:r>
            <w:r w:rsidRPr="00CF2B2A">
              <w:rPr>
                <w:rtl/>
              </w:rPr>
              <w:t>בסעיף זה</w:t>
            </w:r>
            <w:r>
              <w:rPr>
                <w:rFonts w:hint="cs"/>
                <w:rtl/>
              </w:rPr>
              <w:t xml:space="preserve"> </w:t>
            </w:r>
            <w:r>
              <w:rPr>
                <w:rtl/>
              </w:rPr>
              <w:t>–</w:t>
            </w:r>
            <w:r>
              <w:rPr>
                <w:rFonts w:hint="cs"/>
                <w:rtl/>
              </w:rPr>
              <w:t xml:space="preserve"> </w:t>
            </w:r>
            <w:r w:rsidRPr="00CF2B2A">
              <w:rPr>
                <w:rtl/>
              </w:rPr>
              <w:t xml:space="preserve"> "פעוט עם מוגבלות</w:t>
            </w:r>
            <w:r>
              <w:rPr>
                <w:rFonts w:hint="cs"/>
                <w:rtl/>
              </w:rPr>
              <w:t xml:space="preserve"> מורכבת</w:t>
            </w:r>
            <w:r w:rsidRPr="00CF2B2A">
              <w:rPr>
                <w:rtl/>
              </w:rPr>
              <w:t xml:space="preserve">" – </w:t>
            </w:r>
            <w:r w:rsidRPr="00CF2B2A">
              <w:rPr>
                <w:rFonts w:hint="cs"/>
                <w:rtl/>
              </w:rPr>
              <w:t>בהתאם לכללים שיקבע השר</w:t>
            </w:r>
            <w:r>
              <w:rPr>
                <w:rFonts w:hint="cs"/>
                <w:rtl/>
              </w:rPr>
              <w:t>"</w:t>
            </w:r>
            <w:r w:rsidRPr="00CF2B2A">
              <w:rPr>
                <w:rtl/>
              </w:rPr>
              <w:t>"</w:t>
            </w:r>
          </w:p>
        </w:tc>
      </w:tr>
      <w:tr w:rsidR="005F5D4E" w14:paraId="08EC6A56" w14:textId="77777777" w:rsidTr="00BD15BB">
        <w:trPr>
          <w:cantSplit/>
        </w:trPr>
        <w:tc>
          <w:tcPr>
            <w:tcW w:w="1871" w:type="dxa"/>
            <w:hideMark/>
          </w:tcPr>
          <w:p w14:paraId="17D643A4" w14:textId="77777777" w:rsidR="005F5D4E" w:rsidRDefault="005F5D4E" w:rsidP="009002C3">
            <w:pPr>
              <w:pStyle w:val="TableSideHeading"/>
              <w:rPr>
                <w:rtl/>
              </w:rPr>
            </w:pPr>
            <w:r>
              <w:rPr>
                <w:rtl/>
              </w:rPr>
              <w:t>תיקון חוק הביטוח הלאומי</w:t>
            </w:r>
          </w:p>
        </w:tc>
        <w:tc>
          <w:tcPr>
            <w:tcW w:w="624" w:type="dxa"/>
            <w:hideMark/>
          </w:tcPr>
          <w:p w14:paraId="11EDB669" w14:textId="77777777" w:rsidR="005F5D4E" w:rsidRDefault="005F5D4E" w:rsidP="009002C3">
            <w:pPr>
              <w:pStyle w:val="TableText"/>
              <w:rPr>
                <w:rtl/>
              </w:rPr>
            </w:pPr>
            <w:r>
              <w:rPr>
                <w:rtl/>
              </w:rPr>
              <w:t>2.</w:t>
            </w:r>
          </w:p>
        </w:tc>
        <w:tc>
          <w:tcPr>
            <w:tcW w:w="7143" w:type="dxa"/>
            <w:hideMark/>
          </w:tcPr>
          <w:p w14:paraId="677B86BA" w14:textId="77777777" w:rsidR="005F5D4E" w:rsidRDefault="005F5D4E" w:rsidP="00BD15BB">
            <w:pPr>
              <w:pStyle w:val="TableBlock"/>
              <w:tabs>
                <w:tab w:val="left" w:pos="624"/>
                <w:tab w:val="left" w:pos="1247"/>
              </w:tabs>
              <w:rPr>
                <w:rtl/>
              </w:rPr>
            </w:pPr>
            <w:r>
              <w:rPr>
                <w:rtl/>
              </w:rPr>
              <w:t>בחוק הביטוח הלאומי [נוסח משולב], התשנ"ה–1995</w:t>
            </w:r>
            <w:r w:rsidRPr="00BD15BB">
              <w:rPr>
                <w:rFonts w:ascii="David" w:hAnsi="David"/>
                <w:sz w:val="26"/>
                <w:vertAlign w:val="superscript"/>
                <w:rtl/>
              </w:rPr>
              <w:footnoteReference w:id="3"/>
            </w:r>
            <w:r>
              <w:rPr>
                <w:rtl/>
              </w:rPr>
              <w:t>, בסעיף 51</w:t>
            </w:r>
            <w:r>
              <w:rPr>
                <w:rFonts w:hint="cs"/>
                <w:rtl/>
              </w:rPr>
              <w:t>, אחרי סעיף קטן (א2) יבוא:</w:t>
            </w:r>
          </w:p>
        </w:tc>
      </w:tr>
      <w:tr w:rsidR="005F5D4E" w14:paraId="0310C9D1" w14:textId="77777777" w:rsidTr="00BD15BB">
        <w:trPr>
          <w:cantSplit/>
        </w:trPr>
        <w:tc>
          <w:tcPr>
            <w:tcW w:w="1871" w:type="dxa"/>
          </w:tcPr>
          <w:p w14:paraId="70B813C5" w14:textId="77777777" w:rsidR="005F5D4E" w:rsidRDefault="005F5D4E" w:rsidP="009002C3">
            <w:pPr>
              <w:pStyle w:val="TableSideHeading"/>
              <w:rPr>
                <w:rtl/>
              </w:rPr>
            </w:pPr>
          </w:p>
        </w:tc>
        <w:tc>
          <w:tcPr>
            <w:tcW w:w="624" w:type="dxa"/>
          </w:tcPr>
          <w:p w14:paraId="60DB650D" w14:textId="77777777" w:rsidR="005F5D4E" w:rsidRDefault="005F5D4E" w:rsidP="009002C3">
            <w:pPr>
              <w:pStyle w:val="TableText"/>
              <w:rPr>
                <w:rtl/>
              </w:rPr>
            </w:pPr>
          </w:p>
        </w:tc>
        <w:tc>
          <w:tcPr>
            <w:tcW w:w="7143" w:type="dxa"/>
          </w:tcPr>
          <w:p w14:paraId="5BC0808F" w14:textId="77777777" w:rsidR="005F5D4E" w:rsidRDefault="005F5D4E" w:rsidP="00BD15BB">
            <w:pPr>
              <w:pStyle w:val="TableBlock"/>
              <w:tabs>
                <w:tab w:val="left" w:pos="624"/>
                <w:tab w:val="left" w:pos="1247"/>
              </w:tabs>
              <w:rPr>
                <w:rtl/>
              </w:rPr>
            </w:pPr>
            <w:r>
              <w:rPr>
                <w:rFonts w:hint="cs"/>
                <w:rtl/>
              </w:rPr>
              <w:t>"(א3)</w:t>
            </w:r>
            <w:r>
              <w:rPr>
                <w:rtl/>
              </w:rPr>
              <w:tab/>
            </w:r>
            <w:r>
              <w:rPr>
                <w:rFonts w:hint="cs"/>
                <w:rtl/>
              </w:rPr>
              <w:t>מבוטחת שהיא עובדת שזכאית להאריך את תקופה הלידה וההורות כאמור בסעיף 6(ד3) לחוק עבודת נשים, תהיה זכאית בעד תקופה ההארכה, לדמי לידה נוספים על דמי הלידה שהיא זכאית להם לפי סעיף 50 ולפי סעיף קטן (א), לפי העניין, ובלבד שדמי הלידה הנוספים כאמור לא ישולמו בעד פרק זמן העולה על חמישה שבועות".</w:t>
            </w:r>
          </w:p>
        </w:tc>
      </w:tr>
    </w:tbl>
    <w:p w14:paraId="361AFE90" w14:textId="77777777" w:rsidR="005F5D4E" w:rsidRDefault="005F5D4E" w:rsidP="005F5D4E">
      <w:pPr>
        <w:pStyle w:val="HeadDivreiHesber"/>
        <w:rPr>
          <w:rtl/>
        </w:rPr>
      </w:pPr>
      <w:r w:rsidRPr="0027450A">
        <w:rPr>
          <w:rFonts w:hint="cs"/>
          <w:rtl/>
        </w:rPr>
        <w:t>דברי הסבר</w:t>
      </w:r>
    </w:p>
    <w:p w14:paraId="44A4B787" w14:textId="77777777" w:rsidR="005F5D4E" w:rsidRPr="00BD15BB" w:rsidRDefault="005F5D4E" w:rsidP="00BD15BB">
      <w:pPr>
        <w:pStyle w:val="Hesber"/>
      </w:pPr>
      <w:r w:rsidRPr="00BD15BB">
        <w:rPr>
          <w:rtl/>
        </w:rPr>
        <w:t>חוק עבודת נשים, התשי"ד–1954 (להלן – חוק עבודת נשים), וחוק הביטוח הלאומי [נוסח משולב], התשנ"ה–1995</w:t>
      </w:r>
      <w:r w:rsidRPr="00BD15BB">
        <w:rPr>
          <w:rFonts w:hint="cs"/>
          <w:rtl/>
        </w:rPr>
        <w:t xml:space="preserve"> קובעים את</w:t>
      </w:r>
      <w:r w:rsidRPr="00BD15BB">
        <w:rPr>
          <w:rtl/>
        </w:rPr>
        <w:t xml:space="preserve"> </w:t>
      </w:r>
      <w:r w:rsidRPr="00BD15BB">
        <w:rPr>
          <w:rFonts w:hint="cs"/>
          <w:rtl/>
        </w:rPr>
        <w:t>ה</w:t>
      </w:r>
      <w:r w:rsidRPr="00BD15BB">
        <w:rPr>
          <w:rtl/>
        </w:rPr>
        <w:t>כללים לגבי תקופת הלידה וההורות והזכאות לדמי לידה עבור חלק מתקופה זו</w:t>
      </w:r>
      <w:r w:rsidRPr="00BD15BB">
        <w:rPr>
          <w:rFonts w:hint="cs"/>
          <w:rtl/>
        </w:rPr>
        <w:t>.</w:t>
      </w:r>
      <w:r w:rsidRPr="00BD15BB">
        <w:rPr>
          <w:rtl/>
        </w:rPr>
        <w:t xml:space="preserve"> </w:t>
      </w:r>
      <w:r w:rsidRPr="00BD15BB">
        <w:rPr>
          <w:rFonts w:hint="cs"/>
          <w:rtl/>
        </w:rPr>
        <w:t xml:space="preserve">אורכה של </w:t>
      </w:r>
      <w:r w:rsidRPr="00BD15BB">
        <w:rPr>
          <w:rtl/>
        </w:rPr>
        <w:t xml:space="preserve">תקופת הלידה וההורות </w:t>
      </w:r>
      <w:r w:rsidRPr="00BD15BB">
        <w:rPr>
          <w:rFonts w:hint="cs"/>
          <w:rtl/>
        </w:rPr>
        <w:t>משתנה ותלוי</w:t>
      </w:r>
      <w:r w:rsidRPr="00BD15BB">
        <w:rPr>
          <w:rtl/>
        </w:rPr>
        <w:t xml:space="preserve"> בנסיבות מיוחדות כגון: לידה של ילד פג, לידה של מס' ילדים בלידה אחת, או במקרה בו התינוק מאושפז, וכד'</w:t>
      </w:r>
    </w:p>
    <w:p w14:paraId="7E217F05" w14:textId="77777777" w:rsidR="005F5D4E" w:rsidRPr="00BD15BB" w:rsidRDefault="005F5D4E" w:rsidP="00BD15BB">
      <w:pPr>
        <w:pStyle w:val="Hesber"/>
        <w:rPr>
          <w:rtl/>
        </w:rPr>
      </w:pPr>
      <w:r w:rsidRPr="00BD15BB">
        <w:rPr>
          <w:rtl/>
        </w:rPr>
        <w:t xml:space="preserve">עם זאת, </w:t>
      </w:r>
      <w:r w:rsidRPr="00BD15BB">
        <w:rPr>
          <w:rFonts w:hint="cs"/>
          <w:rtl/>
        </w:rPr>
        <w:t>במצב החוקי</w:t>
      </w:r>
      <w:r w:rsidRPr="00BD15BB">
        <w:rPr>
          <w:rtl/>
        </w:rPr>
        <w:t xml:space="preserve"> הקיים אין </w:t>
      </w:r>
      <w:r w:rsidRPr="00BD15BB">
        <w:rPr>
          <w:rFonts w:hint="cs"/>
          <w:rtl/>
        </w:rPr>
        <w:t>מענה</w:t>
      </w:r>
      <w:r w:rsidRPr="00BD15BB">
        <w:rPr>
          <w:rtl/>
        </w:rPr>
        <w:t xml:space="preserve"> למקרה בו הילד שנולד הינו פעוט עם מוגבלות</w:t>
      </w:r>
      <w:r w:rsidRPr="00BD15BB">
        <w:rPr>
          <w:rFonts w:hint="cs"/>
          <w:rtl/>
        </w:rPr>
        <w:t xml:space="preserve"> מורכבת</w:t>
      </w:r>
      <w:r w:rsidRPr="00BD15BB">
        <w:rPr>
          <w:rtl/>
        </w:rPr>
        <w:t xml:space="preserve">, </w:t>
      </w:r>
      <w:r w:rsidRPr="00BD15BB">
        <w:rPr>
          <w:rFonts w:hint="cs"/>
          <w:rtl/>
        </w:rPr>
        <w:t xml:space="preserve">ואז </w:t>
      </w:r>
      <w:r w:rsidRPr="00BD15BB">
        <w:rPr>
          <w:rtl/>
        </w:rPr>
        <w:t>נדרשת הארכה של תקופת הלידה וההורות עקב הצרכים המיוחדים של הילד המחייבים תוספת טיפול והשגחה צמודה</w:t>
      </w:r>
      <w:r w:rsidRPr="00BD15BB">
        <w:rPr>
          <w:rFonts w:hint="cs"/>
          <w:rtl/>
        </w:rPr>
        <w:t>.</w:t>
      </w:r>
      <w:r w:rsidRPr="00BD15BB">
        <w:rPr>
          <w:rtl/>
        </w:rPr>
        <w:t xml:space="preserve"> </w:t>
      </w:r>
      <w:r w:rsidRPr="00BD15BB">
        <w:rPr>
          <w:rFonts w:hint="cs"/>
          <w:rtl/>
        </w:rPr>
        <w:t xml:space="preserve">כמו כן, </w:t>
      </w:r>
      <w:r w:rsidRPr="00BD15BB">
        <w:rPr>
          <w:rtl/>
        </w:rPr>
        <w:t xml:space="preserve">בעוד ילד רגיל זכאי למסגרת חינוכית כבר מגיל 3 חודשים, הזכאות למעון יום </w:t>
      </w:r>
      <w:r w:rsidRPr="00BD15BB">
        <w:rPr>
          <w:rtl/>
        </w:rPr>
        <w:lastRenderedPageBreak/>
        <w:t>שיקומי לפעוט עם מוגבלות הינה מגיל 6 חודשים בלבד.</w:t>
      </w:r>
    </w:p>
    <w:p w14:paraId="6612DFDF" w14:textId="77777777" w:rsidR="005F5D4E" w:rsidRPr="00BD15BB" w:rsidRDefault="005F5D4E" w:rsidP="00BD15BB">
      <w:pPr>
        <w:pStyle w:val="Hesber"/>
        <w:rPr>
          <w:rtl/>
        </w:rPr>
      </w:pPr>
      <w:r w:rsidRPr="00BD15BB">
        <w:rPr>
          <w:rtl/>
        </w:rPr>
        <w:t>הצעת החוק מבקשת להאריך את תקופת הלידה וההורות ב</w:t>
      </w:r>
      <w:r w:rsidRPr="00BD15BB">
        <w:rPr>
          <w:rFonts w:hint="cs"/>
          <w:rtl/>
        </w:rPr>
        <w:t xml:space="preserve">חמישה </w:t>
      </w:r>
      <w:r w:rsidRPr="00BD15BB">
        <w:rPr>
          <w:rtl/>
        </w:rPr>
        <w:t xml:space="preserve">שבועות נוספים </w:t>
      </w:r>
      <w:r w:rsidRPr="00BD15BB">
        <w:rPr>
          <w:rFonts w:hint="cs"/>
          <w:rtl/>
        </w:rPr>
        <w:t xml:space="preserve">עבור </w:t>
      </w:r>
      <w:r w:rsidRPr="00BD15BB">
        <w:rPr>
          <w:rtl/>
        </w:rPr>
        <w:t>עובדת שהילד אשר ילדה הינו פעוט עם מוגבלות</w:t>
      </w:r>
      <w:r w:rsidRPr="00BD15BB">
        <w:rPr>
          <w:rFonts w:hint="cs"/>
          <w:rtl/>
        </w:rPr>
        <w:t xml:space="preserve"> מורכבת </w:t>
      </w:r>
      <w:r w:rsidRPr="00BD15BB">
        <w:rPr>
          <w:rtl/>
        </w:rPr>
        <w:t xml:space="preserve">וכן בהתאמה את התקופה בה </w:t>
      </w:r>
      <w:r w:rsidRPr="00BD15BB">
        <w:rPr>
          <w:rFonts w:hint="cs"/>
          <w:rtl/>
        </w:rPr>
        <w:t xml:space="preserve">היא תהיה </w:t>
      </w:r>
      <w:r w:rsidRPr="00BD15BB">
        <w:rPr>
          <w:rtl/>
        </w:rPr>
        <w:t>זכאי</w:t>
      </w:r>
      <w:r w:rsidRPr="00BD15BB">
        <w:rPr>
          <w:rFonts w:hint="cs"/>
          <w:rtl/>
        </w:rPr>
        <w:t>ת</w:t>
      </w:r>
      <w:r w:rsidRPr="00BD15BB">
        <w:rPr>
          <w:rtl/>
        </w:rPr>
        <w:t xml:space="preserve"> לדמי לידה</w:t>
      </w:r>
      <w:r w:rsidRPr="00BD15BB">
        <w:rPr>
          <w:rFonts w:hint="cs"/>
          <w:rtl/>
        </w:rPr>
        <w:t>. על פי הצעת החוק, השר ייקבע בכללים מיהו פעוט עם מוגבלות מורכבת שלגביו יש צורך לזכאות כאמור.</w:t>
      </w:r>
    </w:p>
    <w:p w14:paraId="4E73FD43" w14:textId="77777777" w:rsidR="005F5D4E" w:rsidRPr="00575463" w:rsidRDefault="005F5D4E" w:rsidP="005F5D4E">
      <w:pPr>
        <w:pStyle w:val="Hesber"/>
        <w:rPr>
          <w:rtl/>
        </w:rPr>
      </w:pPr>
    </w:p>
    <w:p w14:paraId="21BAA55B" w14:textId="77777777" w:rsidR="00B904FB" w:rsidRDefault="00573CD6">
      <w:pPr>
        <w:jc w:val="left"/>
      </w:pPr>
      <w:bookmarkStart w:id="9" w:name="selectedDocDateB"/>
      <w:bookmarkEnd w:id="9"/>
      <w:r>
        <w:rPr>
          <w:rFonts w:eastAsia="David" w:hint="cs"/>
          <w:sz w:val="26"/>
          <w:szCs w:val="26"/>
          <w:rtl/>
        </w:rPr>
        <w:t>--------------------------------</w:t>
      </w:r>
    </w:p>
    <w:p w14:paraId="10665D1E" w14:textId="77777777" w:rsidR="00B904FB" w:rsidRDefault="00573CD6">
      <w:pPr>
        <w:jc w:val="left"/>
      </w:pPr>
      <w:r>
        <w:rPr>
          <w:rFonts w:eastAsia="David" w:hint="cs"/>
          <w:sz w:val="26"/>
          <w:szCs w:val="26"/>
          <w:rtl/>
        </w:rPr>
        <w:t>הוגשה ליו"ר הכנסת והסגנים</w:t>
      </w:r>
    </w:p>
    <w:p w14:paraId="420EFF32" w14:textId="77777777" w:rsidR="00B904FB" w:rsidRDefault="00573CD6">
      <w:pPr>
        <w:jc w:val="left"/>
      </w:pPr>
      <w:r>
        <w:rPr>
          <w:rFonts w:eastAsia="David" w:hint="cs"/>
          <w:sz w:val="26"/>
          <w:szCs w:val="26"/>
          <w:rtl/>
        </w:rPr>
        <w:t>והונחה על שולחן הכנסת ביום</w:t>
      </w:r>
    </w:p>
    <w:p w14:paraId="5460FCF3" w14:textId="77777777" w:rsidR="00B904FB" w:rsidRDefault="00573CD6">
      <w:pPr>
        <w:jc w:val="left"/>
      </w:pPr>
      <w:r>
        <w:rPr>
          <w:rFonts w:eastAsia="David" w:hint="cs"/>
          <w:sz w:val="26"/>
          <w:szCs w:val="26"/>
          <w:rtl/>
        </w:rPr>
        <w:t xml:space="preserve">כ"ח בסיוון התשפ"ב (27.06.2022) </w:t>
      </w:r>
    </w:p>
    <w:p w14:paraId="4C317DF9" w14:textId="77777777" w:rsidR="00B904FB" w:rsidRDefault="00B904FB">
      <w:pPr>
        <w:spacing w:line="276" w:lineRule="auto"/>
        <w:jc w:val="left"/>
      </w:pPr>
    </w:p>
    <w:sectPr w:rsidR="00B904FB" w:rsidSect="00BD15BB">
      <w:footerReference w:type="even" r:id="rId11"/>
      <w:footerReference w:type="default" r:id="rId12"/>
      <w:pgSz w:w="11907" w:h="16840" w:code="9"/>
      <w:pgMar w:top="1701" w:right="1134" w:bottom="1417" w:left="1134" w:header="680" w:footer="680" w:gutter="0"/>
      <w:cols w:space="720"/>
      <w:noEndnote/>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61D7" w14:textId="55E1733F"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573CD6">
      <w:rPr>
        <w:rStyle w:val="ab"/>
        <w:noProof/>
        <w:rtl/>
      </w:rPr>
      <w:t>2</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674C0" w14:textId="77777777" w:rsidR="00D142D3" w:rsidRDefault="00D142D3" w:rsidP="00BD15BB">
      <w:pPr>
        <w:ind w:left="0"/>
      </w:pPr>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52C7D412" w14:textId="77777777" w:rsidR="005F5D4E" w:rsidRDefault="005F5D4E" w:rsidP="005F5D4E">
      <w:pPr>
        <w:pStyle w:val="a4"/>
        <w:rPr>
          <w:rtl/>
        </w:rPr>
      </w:pPr>
      <w:r>
        <w:rPr>
          <w:rStyle w:val="a6"/>
        </w:rPr>
        <w:footnoteRef/>
      </w:r>
      <w:r>
        <w:rPr>
          <w:rtl/>
        </w:rPr>
        <w:t xml:space="preserve"> </w:t>
      </w:r>
      <w:r>
        <w:rPr>
          <w:rFonts w:hint="cs"/>
          <w:rtl/>
        </w:rPr>
        <w:t>ס"ח התשי"ד, עמ' 154.</w:t>
      </w:r>
    </w:p>
  </w:footnote>
  <w:footnote w:id="3">
    <w:p w14:paraId="571FA37C" w14:textId="77777777" w:rsidR="005F5D4E" w:rsidRDefault="005F5D4E" w:rsidP="005F5D4E">
      <w:pPr>
        <w:pStyle w:val="a4"/>
        <w:rPr>
          <w:rtl/>
        </w:rPr>
      </w:pPr>
      <w:r>
        <w:rPr>
          <w:rStyle w:val="a6"/>
        </w:rPr>
        <w:footnoteRef/>
      </w:r>
      <w:r>
        <w:rPr>
          <w:rtl/>
        </w:rPr>
        <w:t xml:space="preserve"> </w:t>
      </w:r>
      <w:r>
        <w:rPr>
          <w:rFonts w:hint="cs"/>
          <w:rtl/>
        </w:rPr>
        <w:t>ס"ח התשנ"ה, עמ' 210.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943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8A2EB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E00D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D24B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1685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CA2E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33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8CFF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38A5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B852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972A86"/>
    <w:multiLevelType w:val="hybridMultilevel"/>
    <w:tmpl w:val="0D5028AE"/>
    <w:lvl w:ilvl="0" w:tplc="FB92B186">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5A2B35"/>
    <w:multiLevelType w:val="hybridMultilevel"/>
    <w:tmpl w:val="F61ADD04"/>
    <w:lvl w:ilvl="0" w:tplc="EFC26F30">
      <w:start w:val="1"/>
      <w:numFmt w:val="hebrew1"/>
      <w:pStyle w:val="4"/>
      <w:suff w:val="space"/>
      <w:lvlText w:val="%1."/>
      <w:lvlJc w:val="left"/>
      <w:pPr>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B3B28B0"/>
    <w:multiLevelType w:val="hybridMultilevel"/>
    <w:tmpl w:val="41ACEA96"/>
    <w:lvl w:ilvl="0" w:tplc="06A8C010">
      <w:start w:val="1"/>
      <w:numFmt w:val="decimal"/>
      <w:pStyle w:val="TOC3"/>
      <w:lvlText w:val="%1."/>
      <w:lvlJc w:val="left"/>
      <w:pPr>
        <w:ind w:left="1287" w:hanging="360"/>
      </w:pPr>
      <w:rPr>
        <w:rFonts w:cs="David" w:hint="default"/>
        <w:bCs w:val="0"/>
        <w:iCs w:val="0"/>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753C544D"/>
    <w:multiLevelType w:val="hybridMultilevel"/>
    <w:tmpl w:val="C7443990"/>
    <w:lvl w:ilvl="0" w:tplc="0409000F">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1"/>
  </w:num>
  <w:num w:numId="14">
    <w:abstractNumId w:val="16"/>
  </w:num>
  <w:num w:numId="15">
    <w:abstractNumId w:val="13"/>
  </w:num>
  <w:num w:numId="16">
    <w:abstractNumId w:val="13"/>
    <w:lvlOverride w:ilvl="0">
      <w:startOverride w:val="1"/>
    </w:lvlOverride>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73CD6"/>
    <w:rsid w:val="00575463"/>
    <w:rsid w:val="005B064E"/>
    <w:rsid w:val="005D51AE"/>
    <w:rsid w:val="005F5D4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04FB"/>
    <w:rsid w:val="00B975AD"/>
    <w:rsid w:val="00BC45FB"/>
    <w:rsid w:val="00BD15BB"/>
    <w:rsid w:val="00BF148D"/>
    <w:rsid w:val="00C23B1A"/>
    <w:rsid w:val="00C27F4B"/>
    <w:rsid w:val="00C310EB"/>
    <w:rsid w:val="00C9176A"/>
    <w:rsid w:val="00CF1AA2"/>
    <w:rsid w:val="00CF2B2A"/>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30E0CC3C-BEBA-4443-BE78-47FCBF169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5BB"/>
    <w:pPr>
      <w:widowControl w:val="0"/>
      <w:bidi/>
      <w:spacing w:line="360" w:lineRule="auto"/>
      <w:ind w:left="340"/>
      <w:contextualSpacing/>
      <w:jc w:val="both"/>
    </w:pPr>
    <w:rPr>
      <w:rFonts w:ascii="David" w:eastAsiaTheme="minorHAnsi" w:hAnsi="David" w:cs="David"/>
      <w:sz w:val="24"/>
      <w:szCs w:val="24"/>
    </w:rPr>
  </w:style>
  <w:style w:type="paragraph" w:styleId="1">
    <w:name w:val="heading 1"/>
    <w:basedOn w:val="a"/>
    <w:next w:val="a"/>
    <w:link w:val="10"/>
    <w:uiPriority w:val="9"/>
    <w:qFormat/>
    <w:rsid w:val="00BD15BB"/>
    <w:pPr>
      <w:keepNext/>
      <w:keepLines/>
      <w:spacing w:before="240"/>
      <w:jc w:val="center"/>
      <w:outlineLvl w:val="0"/>
    </w:pPr>
    <w:rPr>
      <w:rFonts w:asciiTheme="majorHAnsi" w:eastAsiaTheme="majorEastAsia" w:hAnsiTheme="majorHAnsi"/>
      <w:bCs/>
      <w:sz w:val="32"/>
      <w:szCs w:val="36"/>
    </w:rPr>
  </w:style>
  <w:style w:type="paragraph" w:styleId="2">
    <w:name w:val="heading 2"/>
    <w:basedOn w:val="a"/>
    <w:next w:val="a"/>
    <w:link w:val="20"/>
    <w:unhideWhenUsed/>
    <w:qFormat/>
    <w:rsid w:val="00BD15BB"/>
    <w:pPr>
      <w:ind w:left="0"/>
      <w:jc w:val="left"/>
      <w:outlineLvl w:val="1"/>
    </w:pPr>
    <w:rPr>
      <w:rFonts w:asciiTheme="majorHAnsi" w:eastAsiaTheme="majorEastAsia" w:hAnsiTheme="majorHAnsi"/>
      <w:bCs/>
      <w:sz w:val="26"/>
      <w:szCs w:val="36"/>
      <w:u w:val="single"/>
    </w:rPr>
  </w:style>
  <w:style w:type="paragraph" w:styleId="3">
    <w:name w:val="heading 3"/>
    <w:basedOn w:val="a"/>
    <w:next w:val="a"/>
    <w:link w:val="30"/>
    <w:unhideWhenUsed/>
    <w:qFormat/>
    <w:rsid w:val="00BD15BB"/>
    <w:pPr>
      <w:spacing w:before="40"/>
      <w:ind w:left="0"/>
      <w:jc w:val="left"/>
      <w:outlineLvl w:val="2"/>
    </w:pPr>
    <w:rPr>
      <w:rFonts w:asciiTheme="majorHAnsi" w:eastAsiaTheme="majorEastAsia" w:hAnsiTheme="majorHAnsi"/>
      <w:szCs w:val="28"/>
      <w:u w:val="double"/>
    </w:rPr>
  </w:style>
  <w:style w:type="paragraph" w:styleId="4">
    <w:name w:val="heading 4"/>
    <w:basedOn w:val="a"/>
    <w:next w:val="a"/>
    <w:link w:val="40"/>
    <w:uiPriority w:val="9"/>
    <w:unhideWhenUsed/>
    <w:qFormat/>
    <w:rsid w:val="00BD15BB"/>
    <w:pPr>
      <w:numPr>
        <w:numId w:val="18"/>
      </w:numPr>
      <w:spacing w:before="40" w:after="120"/>
      <w:outlineLvl w:val="3"/>
    </w:pPr>
    <w:rPr>
      <w:b/>
      <w:bCs/>
      <w:color w:val="000000" w:themeColor="text1"/>
      <w:szCs w:val="28"/>
    </w:rPr>
  </w:style>
  <w:style w:type="paragraph" w:styleId="5">
    <w:name w:val="heading 5"/>
    <w:basedOn w:val="a"/>
    <w:next w:val="a"/>
    <w:link w:val="50"/>
    <w:uiPriority w:val="9"/>
    <w:unhideWhenUsed/>
    <w:qFormat/>
    <w:rsid w:val="00BD15BB"/>
    <w:pPr>
      <w:spacing w:line="259" w:lineRule="auto"/>
      <w:outlineLvl w:val="4"/>
    </w:pPr>
    <w:rPr>
      <w:color w:val="000000" w:themeColor="text1"/>
    </w:rPr>
  </w:style>
  <w:style w:type="character" w:default="1" w:styleId="a0">
    <w:name w:val="Default Paragraph Font"/>
    <w:uiPriority w:val="1"/>
    <w:semiHidden/>
    <w:unhideWhenUsed/>
    <w:rsid w:val="00BD15BB"/>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D15BB"/>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D15BB"/>
    <w:pPr>
      <w:tabs>
        <w:tab w:val="left" w:pos="1191"/>
        <w:tab w:val="left" w:pos="1587"/>
      </w:tabs>
      <w:snapToGrid w:val="0"/>
      <w:spacing w:before="240" w:after="240" w:line="480" w:lineRule="auto"/>
      <w:jc w:val="center"/>
    </w:pPr>
    <w:rPr>
      <w:rFonts w:ascii="Arial" w:eastAsia="Arial Unicode MS" w:hAnsi="Arial"/>
      <w:snapToGrid w:val="0"/>
      <w:sz w:val="20"/>
      <w:szCs w:val="26"/>
    </w:rPr>
  </w:style>
  <w:style w:type="paragraph" w:customStyle="1" w:styleId="Cover2-HatzaotHok">
    <w:name w:val="Cover 2-HatzaotHok"/>
    <w:basedOn w:val="Cover1-Reshumot"/>
    <w:rsid w:val="00BD15BB"/>
    <w:rPr>
      <w:sz w:val="36"/>
      <w:szCs w:val="52"/>
    </w:rPr>
  </w:style>
  <w:style w:type="paragraph" w:customStyle="1" w:styleId="Cover3-Haknesset">
    <w:name w:val="Cover 3-Haknesset"/>
    <w:basedOn w:val="Cover1-Reshumot"/>
    <w:rsid w:val="00BD15BB"/>
    <w:rPr>
      <w:b/>
      <w:bCs/>
      <w:spacing w:val="60"/>
    </w:rPr>
  </w:style>
  <w:style w:type="paragraph" w:customStyle="1" w:styleId="Cover4-Date">
    <w:name w:val="Cover 4-Date"/>
    <w:basedOn w:val="a"/>
    <w:rsid w:val="00BD15BB"/>
    <w:pPr>
      <w:pBdr>
        <w:bottom w:val="single" w:sz="4" w:space="0" w:color="auto"/>
      </w:pBdr>
      <w:tabs>
        <w:tab w:val="center" w:pos="4820"/>
        <w:tab w:val="right" w:pos="9639"/>
      </w:tabs>
      <w:snapToGrid w:val="0"/>
      <w:spacing w:before="240" w:after="240"/>
      <w:jc w:val="left"/>
    </w:pPr>
    <w:rPr>
      <w:rFonts w:ascii="Arial" w:eastAsia="Arial Unicode MS" w:hAnsi="Arial"/>
      <w:snapToGrid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D15BB"/>
    <w:pPr>
      <w:keepNext/>
      <w:keepLines/>
      <w:pageBreakBefore/>
      <w:snapToGrid w:val="0"/>
      <w:spacing w:before="480"/>
    </w:pPr>
    <w:rPr>
      <w:rFonts w:ascii="Arial" w:eastAsia="Arial Unicode MS" w:hAnsi="Arial"/>
      <w:b/>
      <w:bCs/>
      <w:snapToGrid w:val="0"/>
      <w:sz w:val="20"/>
      <w:szCs w:val="26"/>
    </w:rPr>
  </w:style>
  <w:style w:type="paragraph" w:customStyle="1" w:styleId="HeadHatzaotHok">
    <w:name w:val="Head HatzaotHok"/>
    <w:basedOn w:val="a"/>
    <w:rsid w:val="00BD15BB"/>
    <w:pPr>
      <w:keepNext/>
      <w:keepLines/>
      <w:snapToGrid w:val="0"/>
      <w:spacing w:before="240"/>
      <w:jc w:val="center"/>
      <w:outlineLvl w:val="0"/>
    </w:pPr>
    <w:rPr>
      <w:rFonts w:ascii="Arial" w:eastAsia="Arial Unicode MS" w:hAnsi="Arial"/>
      <w:b/>
      <w:bCs/>
      <w:snapToGrid w:val="0"/>
      <w:sz w:val="20"/>
      <w:szCs w:val="26"/>
    </w:rPr>
  </w:style>
  <w:style w:type="paragraph" w:customStyle="1" w:styleId="HeadHatzaotHok4Futer">
    <w:name w:val="Head HatzaotHok4Futer"/>
    <w:basedOn w:val="HeadHatzaotHok"/>
    <w:rsid w:val="00BD15BB"/>
    <w:pPr>
      <w:spacing w:before="120" w:after="120"/>
    </w:pPr>
    <w:rPr>
      <w:color w:val="FF0000"/>
      <w:w w:val="80"/>
    </w:rPr>
  </w:style>
  <w:style w:type="paragraph" w:styleId="a3">
    <w:name w:val="endnote text"/>
    <w:basedOn w:val="a"/>
    <w:semiHidden/>
    <w:rsid w:val="00BD15BB"/>
    <w:pPr>
      <w:ind w:left="227" w:hanging="227"/>
    </w:pPr>
    <w:rPr>
      <w:sz w:val="14"/>
      <w:szCs w:val="22"/>
    </w:rPr>
  </w:style>
  <w:style w:type="paragraph" w:customStyle="1" w:styleId="TableText">
    <w:name w:val="Table Text"/>
    <w:basedOn w:val="a"/>
    <w:rsid w:val="00BD15BB"/>
    <w:pPr>
      <w:keepLines/>
      <w:tabs>
        <w:tab w:val="left" w:pos="624"/>
        <w:tab w:val="left" w:pos="1247"/>
      </w:tabs>
      <w:snapToGrid w:val="0"/>
      <w:ind w:left="0"/>
      <w:jc w:val="left"/>
    </w:pPr>
    <w:rPr>
      <w:rFonts w:ascii="Arial" w:eastAsia="Arial Unicode MS" w:hAnsi="Arial"/>
      <w:snapToGrid w:val="0"/>
      <w:sz w:val="20"/>
      <w:szCs w:val="26"/>
    </w:rPr>
  </w:style>
  <w:style w:type="paragraph" w:customStyle="1" w:styleId="TableSideHeading">
    <w:name w:val="Table SideHeading"/>
    <w:basedOn w:val="TableText"/>
    <w:rsid w:val="00BD15BB"/>
    <w:pPr>
      <w:outlineLvl w:val="2"/>
    </w:pPr>
  </w:style>
  <w:style w:type="paragraph" w:customStyle="1" w:styleId="TableBlock">
    <w:name w:val="Table Block"/>
    <w:basedOn w:val="TableText"/>
    <w:rsid w:val="00BD15BB"/>
    <w:pPr>
      <w:jc w:val="both"/>
    </w:pPr>
  </w:style>
  <w:style w:type="paragraph" w:customStyle="1" w:styleId="TableHead">
    <w:name w:val="Table Head"/>
    <w:basedOn w:val="TableText"/>
    <w:rsid w:val="00BD15BB"/>
    <w:pPr>
      <w:jc w:val="center"/>
      <w:outlineLvl w:val="1"/>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D15BB"/>
    <w:pPr>
      <w:outlineLvl w:val="9"/>
    </w:pPr>
  </w:style>
  <w:style w:type="paragraph" w:customStyle="1" w:styleId="Hesber">
    <w:name w:val="Hesber"/>
    <w:basedOn w:val="a"/>
    <w:rsid w:val="00BD15BB"/>
    <w:pPr>
      <w:snapToGrid w:val="0"/>
      <w:ind w:left="0" w:firstLine="340"/>
    </w:pPr>
    <w:rPr>
      <w:rFonts w:ascii="Arial" w:eastAsia="Arial Unicode MS" w:hAnsi="Arial"/>
      <w:snapToGrid w:val="0"/>
      <w:sz w:val="20"/>
      <w:szCs w:val="26"/>
    </w:rPr>
  </w:style>
  <w:style w:type="paragraph" w:styleId="a4">
    <w:name w:val="footnote text"/>
    <w:basedOn w:val="a"/>
    <w:link w:val="a5"/>
    <w:autoRedefine/>
    <w:semiHidden/>
    <w:rsid w:val="00BD15BB"/>
    <w:pPr>
      <w:snapToGrid w:val="0"/>
      <w:spacing w:line="240" w:lineRule="auto"/>
      <w:ind w:left="0"/>
      <w:jc w:val="left"/>
    </w:pPr>
    <w:rPr>
      <w:rFonts w:ascii="Arial" w:eastAsia="Arial Unicode MS" w:hAnsi="Arial"/>
      <w:snapToGrid w:val="0"/>
      <w:sz w:val="14"/>
      <w:szCs w:val="20"/>
    </w:rPr>
  </w:style>
  <w:style w:type="character" w:styleId="a6">
    <w:name w:val="footnote reference"/>
    <w:aliases w:val="Footnote Reference"/>
    <w:basedOn w:val="a0"/>
    <w:semiHidden/>
    <w:rsid w:val="00BD15BB"/>
    <w:rPr>
      <w:vertAlign w:val="superscript"/>
    </w:rPr>
  </w:style>
  <w:style w:type="paragraph" w:customStyle="1" w:styleId="HesberHeading">
    <w:name w:val="Hesber Heading"/>
    <w:basedOn w:val="Hesber"/>
    <w:rsid w:val="00BD15BB"/>
    <w:pPr>
      <w:tabs>
        <w:tab w:val="left" w:pos="624"/>
        <w:tab w:val="left" w:pos="1247"/>
      </w:tabs>
    </w:pPr>
    <w:rPr>
      <w:b/>
      <w:bCs/>
    </w:rPr>
  </w:style>
  <w:style w:type="paragraph" w:customStyle="1" w:styleId="HesberWriters">
    <w:name w:val="Hesber Writers"/>
    <w:basedOn w:val="Hesber"/>
    <w:rsid w:val="00BD15BB"/>
    <w:pPr>
      <w:spacing w:before="120" w:after="120"/>
      <w:ind w:left="1418"/>
      <w:jc w:val="right"/>
    </w:pPr>
    <w:rPr>
      <w:b/>
      <w:bCs/>
    </w:rPr>
  </w:style>
  <w:style w:type="paragraph" w:customStyle="1" w:styleId="Hesber1st">
    <w:name w:val="Hesber 1st"/>
    <w:basedOn w:val="Hesber"/>
    <w:rsid w:val="00BD15BB"/>
    <w:pPr>
      <w:tabs>
        <w:tab w:val="left" w:pos="680"/>
        <w:tab w:val="left" w:pos="1020"/>
      </w:tabs>
      <w:ind w:firstLine="0"/>
    </w:pPr>
  </w:style>
  <w:style w:type="character" w:styleId="a7">
    <w:name w:val="endnote reference"/>
    <w:basedOn w:val="a0"/>
    <w:semiHidden/>
    <w:rsid w:val="00BD15BB"/>
    <w:rPr>
      <w:vertAlign w:val="superscript"/>
    </w:rPr>
  </w:style>
  <w:style w:type="paragraph" w:customStyle="1" w:styleId="TableBlockOutdent">
    <w:name w:val="Table BlockOutdent"/>
    <w:basedOn w:val="TableBlock"/>
    <w:rsid w:val="00BD15BB"/>
    <w:pPr>
      <w:ind w:left="624" w:hanging="624"/>
    </w:pPr>
  </w:style>
  <w:style w:type="paragraph" w:styleId="a8">
    <w:name w:val="header"/>
    <w:basedOn w:val="a"/>
    <w:rsid w:val="00BD15BB"/>
    <w:pPr>
      <w:tabs>
        <w:tab w:val="center" w:pos="4153"/>
        <w:tab w:val="right" w:pos="8306"/>
      </w:tabs>
    </w:pPr>
  </w:style>
  <w:style w:type="paragraph" w:styleId="a9">
    <w:name w:val="footer"/>
    <w:basedOn w:val="a"/>
    <w:rsid w:val="00BD15BB"/>
    <w:pPr>
      <w:tabs>
        <w:tab w:val="center" w:pos="4153"/>
        <w:tab w:val="right" w:pos="8306"/>
      </w:tabs>
    </w:pPr>
  </w:style>
  <w:style w:type="paragraph" w:customStyle="1" w:styleId="HeadDivreiHesber">
    <w:name w:val="Head DivreiHesber"/>
    <w:basedOn w:val="a"/>
    <w:rsid w:val="00BD15BB"/>
    <w:pPr>
      <w:snapToGrid w:val="0"/>
      <w:spacing w:before="360" w:after="120"/>
      <w:jc w:val="center"/>
      <w:outlineLvl w:val="1"/>
    </w:pPr>
    <w:rPr>
      <w:rFonts w:ascii="Arial" w:eastAsia="Arial Unicode MS" w:hAnsi="Arial"/>
      <w:b/>
      <w:snapToGrid w:val="0"/>
      <w:spacing w:val="40"/>
      <w:sz w:val="20"/>
      <w:szCs w:val="26"/>
    </w:rPr>
  </w:style>
  <w:style w:type="paragraph" w:customStyle="1" w:styleId="Ragil">
    <w:name w:val="Ragil"/>
    <w:basedOn w:val="a"/>
    <w:rsid w:val="00BD15BB"/>
    <w:pPr>
      <w:snapToGrid w:val="0"/>
      <w:jc w:val="left"/>
    </w:pPr>
    <w:rPr>
      <w:rFonts w:ascii="Arial" w:eastAsia="Arial Unicode MS" w:hAnsi="Arial"/>
      <w:snapToGrid w:val="0"/>
      <w:sz w:val="20"/>
      <w:szCs w:val="26"/>
    </w:rPr>
  </w:style>
  <w:style w:type="paragraph" w:styleId="aa">
    <w:name w:val="Title"/>
    <w:basedOn w:val="a"/>
    <w:qFormat/>
    <w:rsid w:val="00943386"/>
    <w:pPr>
      <w:jc w:val="center"/>
    </w:pPr>
    <w:rPr>
      <w:b/>
      <w:bCs/>
      <w:sz w:val="28"/>
      <w:szCs w:val="28"/>
      <w:u w:val="single"/>
    </w:rPr>
  </w:style>
  <w:style w:type="character" w:styleId="ab">
    <w:name w:val="page number"/>
    <w:basedOn w:val="a0"/>
    <w:rsid w:val="00BD15BB"/>
  </w:style>
  <w:style w:type="paragraph" w:customStyle="1" w:styleId="David">
    <w:name w:val="רגיל + (עברית ושפות אחרות) David"/>
    <w:aliases w:val="‏13 נק',מודגש,אחרי:  6 נק'"/>
    <w:basedOn w:val="a"/>
    <w:rsid w:val="001207F8"/>
    <w:pPr>
      <w:jc w:val="left"/>
    </w:pPr>
    <w:rPr>
      <w:sz w:val="26"/>
      <w:szCs w:val="26"/>
    </w:rPr>
  </w:style>
  <w:style w:type="paragraph" w:styleId="ac">
    <w:name w:val="Balloon Text"/>
    <w:basedOn w:val="a"/>
    <w:link w:val="ad"/>
    <w:semiHidden/>
    <w:unhideWhenUsed/>
    <w:rsid w:val="00325C14"/>
    <w:pPr>
      <w:spacing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575463"/>
    <w:rPr>
      <w:rFonts w:ascii="Arial" w:eastAsia="Arial Unicode MS" w:hAnsi="Arial" w:cs="David"/>
      <w:snapToGrid w:val="0"/>
      <w:sz w:val="14"/>
    </w:rPr>
  </w:style>
  <w:style w:type="character" w:customStyle="1" w:styleId="10">
    <w:name w:val="כותרת 1 תו"/>
    <w:basedOn w:val="a0"/>
    <w:link w:val="1"/>
    <w:uiPriority w:val="9"/>
    <w:rsid w:val="00BD15BB"/>
    <w:rPr>
      <w:rFonts w:asciiTheme="majorHAnsi" w:eastAsiaTheme="majorEastAsia" w:hAnsiTheme="majorHAnsi" w:cs="David"/>
      <w:bCs/>
      <w:sz w:val="32"/>
      <w:szCs w:val="36"/>
    </w:rPr>
  </w:style>
  <w:style w:type="character" w:customStyle="1" w:styleId="20">
    <w:name w:val="כותרת 2 תו"/>
    <w:basedOn w:val="a0"/>
    <w:link w:val="2"/>
    <w:rsid w:val="00BD15BB"/>
    <w:rPr>
      <w:rFonts w:asciiTheme="majorHAnsi" w:eastAsiaTheme="majorEastAsia" w:hAnsiTheme="majorHAnsi" w:cs="David"/>
      <w:bCs/>
      <w:sz w:val="26"/>
      <w:szCs w:val="36"/>
      <w:u w:val="single"/>
    </w:rPr>
  </w:style>
  <w:style w:type="character" w:customStyle="1" w:styleId="30">
    <w:name w:val="כותרת 3 תו"/>
    <w:basedOn w:val="a0"/>
    <w:link w:val="3"/>
    <w:rsid w:val="00BD15BB"/>
    <w:rPr>
      <w:rFonts w:asciiTheme="majorHAnsi" w:eastAsiaTheme="majorEastAsia" w:hAnsiTheme="majorHAnsi" w:cs="David"/>
      <w:sz w:val="24"/>
      <w:szCs w:val="28"/>
      <w:u w:val="double"/>
    </w:rPr>
  </w:style>
  <w:style w:type="character" w:customStyle="1" w:styleId="40">
    <w:name w:val="כותרת 4 תו"/>
    <w:basedOn w:val="a0"/>
    <w:link w:val="4"/>
    <w:uiPriority w:val="9"/>
    <w:rsid w:val="00BD15BB"/>
    <w:rPr>
      <w:rFonts w:ascii="David" w:eastAsiaTheme="minorHAnsi" w:hAnsi="David" w:cs="David"/>
      <w:b/>
      <w:bCs/>
      <w:color w:val="000000" w:themeColor="text1"/>
      <w:sz w:val="24"/>
      <w:szCs w:val="28"/>
    </w:rPr>
  </w:style>
  <w:style w:type="character" w:customStyle="1" w:styleId="50">
    <w:name w:val="כותרת 5 תו"/>
    <w:basedOn w:val="a0"/>
    <w:link w:val="5"/>
    <w:uiPriority w:val="9"/>
    <w:rsid w:val="00BD15BB"/>
    <w:rPr>
      <w:rFonts w:ascii="David" w:eastAsiaTheme="minorHAnsi" w:hAnsi="David" w:cs="David"/>
      <w:color w:val="000000" w:themeColor="text1"/>
      <w:sz w:val="24"/>
      <w:szCs w:val="24"/>
    </w:rPr>
  </w:style>
  <w:style w:type="paragraph" w:styleId="ae">
    <w:name w:val="TOC Heading"/>
    <w:basedOn w:val="1"/>
    <w:next w:val="a"/>
    <w:uiPriority w:val="39"/>
    <w:unhideWhenUsed/>
    <w:qFormat/>
    <w:rsid w:val="00BD15BB"/>
    <w:pPr>
      <w:widowControl/>
      <w:spacing w:before="120" w:after="120"/>
      <w:outlineLvl w:val="9"/>
    </w:pPr>
    <w:rPr>
      <w:rtl/>
      <w:cs/>
    </w:rPr>
  </w:style>
  <w:style w:type="paragraph" w:styleId="TOC1">
    <w:name w:val="toc 1"/>
    <w:basedOn w:val="a"/>
    <w:next w:val="a"/>
    <w:autoRedefine/>
    <w:uiPriority w:val="39"/>
    <w:unhideWhenUsed/>
    <w:rsid w:val="00BD15BB"/>
    <w:pPr>
      <w:tabs>
        <w:tab w:val="right" w:leader="dot" w:pos="9629"/>
      </w:tabs>
      <w:spacing w:after="100"/>
    </w:pPr>
    <w:rPr>
      <w:bCs/>
      <w:szCs w:val="22"/>
    </w:rPr>
  </w:style>
  <w:style w:type="paragraph" w:styleId="TOC2">
    <w:name w:val="toc 2"/>
    <w:basedOn w:val="a"/>
    <w:next w:val="a"/>
    <w:uiPriority w:val="39"/>
    <w:unhideWhenUsed/>
    <w:rsid w:val="00BD15BB"/>
    <w:pPr>
      <w:tabs>
        <w:tab w:val="right" w:leader="dot" w:pos="9628"/>
      </w:tabs>
      <w:spacing w:after="100"/>
    </w:pPr>
    <w:rPr>
      <w:szCs w:val="22"/>
    </w:rPr>
  </w:style>
  <w:style w:type="character" w:styleId="Hyperlink">
    <w:name w:val="Hyperlink"/>
    <w:basedOn w:val="a0"/>
    <w:uiPriority w:val="99"/>
    <w:unhideWhenUsed/>
    <w:rsid w:val="00BD15BB"/>
    <w:rPr>
      <w:color w:val="0000FF" w:themeColor="hyperlink"/>
      <w:u w:val="single"/>
    </w:rPr>
  </w:style>
  <w:style w:type="paragraph" w:styleId="TOC3">
    <w:name w:val="toc 3"/>
    <w:basedOn w:val="a"/>
    <w:next w:val="a"/>
    <w:uiPriority w:val="39"/>
    <w:unhideWhenUsed/>
    <w:rsid w:val="00BD15BB"/>
    <w:pPr>
      <w:numPr>
        <w:numId w:val="21"/>
      </w:numPr>
      <w:tabs>
        <w:tab w:val="right" w:leader="dot" w:pos="9629"/>
      </w:tabs>
      <w:spacing w:after="100"/>
      <w:ind w:left="811" w:hanging="357"/>
    </w:pPr>
    <w:rPr>
      <w:szCs w:val="22"/>
    </w:rPr>
  </w:style>
  <w:style w:type="paragraph" w:styleId="TOC4">
    <w:name w:val="toc 4"/>
    <w:basedOn w:val="a"/>
    <w:next w:val="a"/>
    <w:autoRedefine/>
    <w:unhideWhenUsed/>
    <w:qFormat/>
    <w:rsid w:val="00BD15BB"/>
    <w:pPr>
      <w:tabs>
        <w:tab w:val="right" w:leader="dot" w:pos="9628"/>
      </w:tabs>
      <w:spacing w:after="100"/>
      <w:ind w:left="567"/>
    </w:pPr>
    <w:rPr>
      <w:rFonts w:asciiTheme="minorHAnsi" w:eastAsiaTheme="minorEastAsia" w:hAnsiTheme="minorHAnsi"/>
      <w:noProof/>
      <w:sz w:val="22"/>
      <w:szCs w:val="22"/>
    </w:rPr>
  </w:style>
  <w:style w:type="paragraph" w:styleId="TOC5">
    <w:name w:val="toc 5"/>
    <w:basedOn w:val="a"/>
    <w:next w:val="a"/>
    <w:semiHidden/>
    <w:unhideWhenUsed/>
    <w:rsid w:val="00BD15BB"/>
    <w:pPr>
      <w:tabs>
        <w:tab w:val="right" w:leader="dot" w:pos="9628"/>
      </w:tabs>
      <w:spacing w:after="100"/>
      <w:ind w:left="567"/>
    </w:pPr>
    <w:rPr>
      <w:szCs w:val="22"/>
    </w:rPr>
  </w:style>
  <w:style w:type="paragraph" w:styleId="TOC6">
    <w:name w:val="toc 6"/>
    <w:basedOn w:val="a"/>
    <w:next w:val="a"/>
    <w:autoRedefine/>
    <w:semiHidden/>
    <w:unhideWhenUsed/>
    <w:rsid w:val="00BD15BB"/>
    <w:pPr>
      <w:spacing w:after="100"/>
      <w:ind w:left="850"/>
    </w:pPr>
  </w:style>
  <w:style w:type="paragraph" w:styleId="TOC7">
    <w:name w:val="toc 7"/>
    <w:basedOn w:val="a"/>
    <w:next w:val="a"/>
    <w:autoRedefine/>
    <w:semiHidden/>
    <w:unhideWhenUsed/>
    <w:rsid w:val="00BD15BB"/>
    <w:pPr>
      <w:spacing w:after="100"/>
      <w:ind w:left="1020"/>
    </w:pPr>
  </w:style>
  <w:style w:type="paragraph" w:styleId="TOC8">
    <w:name w:val="toc 8"/>
    <w:basedOn w:val="a"/>
    <w:next w:val="a"/>
    <w:autoRedefine/>
    <w:semiHidden/>
    <w:unhideWhenUsed/>
    <w:rsid w:val="00BD15BB"/>
    <w:pPr>
      <w:spacing w:after="100"/>
      <w:ind w:left="1190"/>
    </w:pPr>
  </w:style>
  <w:style w:type="paragraph" w:styleId="TOC9">
    <w:name w:val="toc 9"/>
    <w:basedOn w:val="a"/>
    <w:next w:val="a"/>
    <w:autoRedefine/>
    <w:semiHidden/>
    <w:unhideWhenUsed/>
    <w:rsid w:val="00BD15BB"/>
    <w:pPr>
      <w:spacing w:after="100"/>
      <w:ind w:left="1360"/>
    </w:pPr>
  </w:style>
  <w:style w:type="paragraph" w:customStyle="1" w:styleId="TableHead2">
    <w:name w:val="Table Head2"/>
    <w:basedOn w:val="TableHead"/>
    <w:qFormat/>
    <w:rsid w:val="00BD15BB"/>
    <w:pPr>
      <w:outlineLvl w:val="9"/>
    </w:pPr>
  </w:style>
  <w:style w:type="paragraph" w:customStyle="1" w:styleId="TableSideHeading2">
    <w:name w:val="Table SideHeading2"/>
    <w:basedOn w:val="TableSideHeading"/>
    <w:autoRedefine/>
    <w:qFormat/>
    <w:rsid w:val="00BD15BB"/>
    <w:pPr>
      <w:keepLines w:val="0"/>
      <w:outlineLvl w:val="9"/>
    </w:pPr>
  </w:style>
  <w:style w:type="paragraph" w:customStyle="1" w:styleId="0">
    <w:name w:val="סגנון שורה ראשונה:  0  ס''מ"/>
    <w:basedOn w:val="2"/>
    <w:rsid w:val="00BD15BB"/>
    <w:rPr>
      <w:rFonts w:eastAsia="Times New Roman"/>
    </w:rPr>
  </w:style>
  <w:style w:type="paragraph" w:styleId="af">
    <w:name w:val="List Paragraph"/>
    <w:basedOn w:val="a"/>
    <w:uiPriority w:val="34"/>
    <w:qFormat/>
    <w:rsid w:val="00BD15BB"/>
    <w:pPr>
      <w:widowControl/>
      <w:spacing w:line="259" w:lineRule="auto"/>
    </w:pPr>
    <w:rPr>
      <w:rFonts w:asciiTheme="minorHAnsi" w:hAnsiTheme="minorHAnsi"/>
      <w:sz w:val="22"/>
    </w:rPr>
  </w:style>
  <w:style w:type="table" w:styleId="af0">
    <w:name w:val="Table Grid"/>
    <w:basedOn w:val="a1"/>
    <w:rsid w:val="00BD1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BD15B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Grid Table 1 Light"/>
    <w:basedOn w:val="a1"/>
    <w:uiPriority w:val="46"/>
    <w:rsid w:val="00BD15B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1">
    <w:name w:val="טבלת חקיקה"/>
    <w:basedOn w:val="a1"/>
    <w:uiPriority w:val="99"/>
    <w:rsid w:val="00BD15BB"/>
    <w:pPr>
      <w:jc w:val="center"/>
    </w:pPr>
    <w:rPr>
      <w:rFonts w:cstheme="minorBidi"/>
    </w:rPr>
    <w:tblPr/>
    <w:tcPr>
      <w:tcMar>
        <w:left w:w="0" w:type="dxa"/>
        <w:right w:w="0" w:type="dxa"/>
      </w:tcMar>
      <w:vAlign w:val="center"/>
    </w:tcPr>
    <w:tblStylePr w:type="firstRow">
      <w:pPr>
        <w:jc w:val="center"/>
      </w:pPr>
      <w:rPr>
        <w:rFonts w:cs="David"/>
        <w:bCs/>
        <w:szCs w:val="24"/>
      </w:rPr>
      <w:tblPr/>
      <w:tcPr>
        <w:tcBorders>
          <w:top w:val="nil"/>
          <w:left w:val="nil"/>
          <w:bottom w:val="nil"/>
          <w:right w:val="nil"/>
          <w:insideH w:val="nil"/>
          <w:insideV w:val="nil"/>
          <w:tl2br w:val="nil"/>
          <w:tr2bl w:val="nil"/>
        </w:tcBorders>
        <w:shd w:val="pct10" w:color="auto" w:fill="auto"/>
      </w:tcPr>
    </w:tblStylePr>
    <w:tblStylePr w:type="firstCol">
      <w:tblPr/>
      <w:tcPr>
        <w:noWrap/>
      </w:tcPr>
    </w:tblStylePr>
    <w:tblStylePr w:type="lastCol">
      <w:pPr>
        <w:jc w:val="center"/>
      </w:pPr>
      <w:tblPr/>
      <w:tcPr>
        <w:noWrap/>
      </w:tcPr>
    </w:tblStylePr>
  </w:style>
  <w:style w:type="table" w:customStyle="1" w:styleId="13">
    <w:name w:val="סגנון1"/>
    <w:basedOn w:val="a1"/>
    <w:uiPriority w:val="99"/>
    <w:rsid w:val="00BD15BB"/>
    <w:tblPr/>
    <w:tblStylePr w:type="firstCol">
      <w:pPr>
        <w:keepNext w:val="0"/>
        <w:keepLines/>
        <w:pageBreakBefore w:val="0"/>
        <w:widowControl w:val="0"/>
        <w:suppressLineNumbers w:val="0"/>
        <w:suppressAutoHyphens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885779">
      <w:bodyDiv w:val="1"/>
      <w:marLeft w:val="0"/>
      <w:marRight w:val="0"/>
      <w:marTop w:val="0"/>
      <w:marBottom w:val="0"/>
      <w:divBdr>
        <w:top w:val="none" w:sz="0" w:space="0" w:color="auto"/>
        <w:left w:val="none" w:sz="0" w:space="0" w:color="auto"/>
        <w:bottom w:val="none" w:sz="0" w:space="0" w:color="auto"/>
        <w:right w:val="none" w:sz="0" w:space="0" w:color="auto"/>
      </w:divBdr>
    </w:div>
    <w:div w:id="978416412">
      <w:bodyDiv w:val="1"/>
      <w:marLeft w:val="0"/>
      <w:marRight w:val="0"/>
      <w:marTop w:val="0"/>
      <w:marBottom w:val="0"/>
      <w:divBdr>
        <w:top w:val="none" w:sz="0" w:space="0" w:color="auto"/>
        <w:left w:val="none" w:sz="0" w:space="0" w:color="auto"/>
        <w:bottom w:val="none" w:sz="0" w:space="0" w:color="auto"/>
        <w:right w:val="none" w:sz="0" w:space="0" w:color="auto"/>
      </w:divBdr>
    </w:div>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 w:id="212823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88F4AFE3-9455-419C-8851-785A55F44517}">
  <ds:schemaRefs>
    <ds:schemaRef ds:uri="http://schemas.openxmlformats.org/package/2006/metadata/core-properties"/>
    <ds:schemaRef ds:uri="http://purl.org/dc/terms/"/>
    <ds:schemaRef ds:uri="http://schemas.microsoft.com/office/infopath/2007/PartnerControls"/>
    <ds:schemaRef ds:uri="290d5b49-c690-4c6f-bbb9-1e50dab33eee"/>
    <ds:schemaRef ds:uri="http://schemas.microsoft.com/office/2006/documentManagement/types"/>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717337E7-0DB6-4AB7-834E-37E83816A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E6BB3B-57EC-4031-A2BE-2D6674F27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6883</TotalTime>
  <Pages>2</Pages>
  <Words>330</Words>
  <Characters>1654</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8</cp:revision>
  <cp:lastPrinted>2022-06-08T14:29:00Z</cp:lastPrinted>
  <dcterms:created xsi:type="dcterms:W3CDTF">2015-04-20T09:58:00Z</dcterms:created>
  <dcterms:modified xsi:type="dcterms:W3CDTF">2022-06-23T08:24:00Z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2193610</vt:r8>
  </property>
</Properties>
</file>